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方正楷体简体" w:cs="Times New Roman"/>
          <w:b/>
          <w:color w:val="auto"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济宁市城市基础设施生命线安全监管系统建设项目有关情况汇报</w:t>
      </w:r>
    </w:p>
    <w:p>
      <w:pPr>
        <w:spacing w:line="580" w:lineRule="exact"/>
        <w:jc w:val="center"/>
        <w:rPr>
          <w:rFonts w:hint="default" w:ascii="Times New Roman" w:hAnsi="Times New Roman" w:eastAsia="方正楷体简体" w:cs="Times New Roman"/>
          <w:b/>
          <w:bCs/>
          <w:color w:val="auto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</w:rPr>
        <w:t>市城市管理局</w:t>
      </w:r>
    </w:p>
    <w:p>
      <w:pPr>
        <w:spacing w:line="580" w:lineRule="exact"/>
        <w:jc w:val="center"/>
        <w:rPr>
          <w:rFonts w:hint="default" w:ascii="Times New Roman" w:hAnsi="Times New Roman" w:eastAsia="方正楷体简体" w:cs="Times New Roman"/>
          <w:b/>
          <w:bCs/>
          <w:color w:val="auto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</w:rPr>
        <w:t>（202</w:t>
      </w:r>
      <w:r>
        <w:rPr>
          <w:rFonts w:hint="default" w:ascii="Times New Roman" w:hAnsi="Times New Roman" w:eastAsia="方正楷体简体" w:cs="Times New Roman"/>
          <w:b/>
          <w:bCs/>
          <w:color w:val="auto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b/>
          <w:bCs/>
          <w:color w:val="auto"/>
        </w:rPr>
        <w:t>年</w:t>
      </w:r>
      <w:r>
        <w:rPr>
          <w:rFonts w:hint="eastAsia" w:ascii="Times New Roman" w:hAnsi="Times New Roman" w:eastAsia="方正楷体简体" w:cs="Times New Roman"/>
          <w:b/>
          <w:bCs/>
          <w:color w:val="auto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b/>
          <w:bCs/>
          <w:color w:val="auto"/>
        </w:rPr>
        <w:t>月）</w:t>
      </w:r>
    </w:p>
    <w:p>
      <w:pPr>
        <w:spacing w:line="580" w:lineRule="exact"/>
        <w:rPr>
          <w:rFonts w:hint="default" w:ascii="Times New Roman" w:hAnsi="Times New Roman" w:cs="Times New Roman"/>
          <w:b/>
          <w:bCs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为保障城市基础设施运行安全，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2023年7月，山东省住房和城乡建设厅印发《山东省市、县（市、区）城市基础设施生命线安全监管工程建设工作指引（试行）》，要求各地市建设城市基础设施生命线安全监管系统，实现对燃气、供热、供水、排水、桥梁及综合管廊6大行业基础设施运行的常态化监测、动态预警、精准溯源、协同处置，全面提升城市基础设施运行的安全韧性。遴选烟台、济宁、临沂、滨州 4 市作为试点城市，2024年12月底前完成系统建设并实现与省平台的对接。</w:t>
      </w:r>
    </w:p>
    <w:p>
      <w:pPr>
        <w:pStyle w:val="9"/>
        <w:numPr>
          <w:ilvl w:val="0"/>
          <w:numId w:val="0"/>
        </w:numPr>
        <w:spacing w:after="0" w:line="580" w:lineRule="exact"/>
        <w:ind w:left="0" w:leftChars="0" w:firstLine="643" w:firstLineChars="200"/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一、前期工作开展情况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根据市政府安排，2023年7月份以来，市城管局按照建设工作指引有关要求，积极学习借鉴合肥、青岛等先进地市经验，并组织技术人员多次与市住建局、市城乡水务局等行业主管部门及主城区燃气、供热、供水、排水、桥梁及综合管廊运行维护单位沟通对接，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立足各行业现有系统开展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数据接入调研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数据治理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评估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技术路径确定等工作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市大数据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局对项目建设方案进行全程技术指导，并组织省、市专家组成评审小组对项目建设方案进行技术论证。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市政府分管副市长</w:t>
      </w:r>
      <w:r>
        <w:rPr>
          <w:rFonts w:hint="eastAsia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多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次召开会议，听取建设方案汇报和市直有关部门单位意见建议。</w:t>
      </w:r>
      <w:r>
        <w:rPr>
          <w:rFonts w:hint="eastAsia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4月上旬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项目完成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技术评审。</w:t>
      </w:r>
    </w:p>
    <w:p>
      <w:pPr>
        <w:pStyle w:val="9"/>
        <w:numPr>
          <w:ilvl w:val="0"/>
          <w:numId w:val="0"/>
        </w:numPr>
        <w:spacing w:after="0" w:line="580" w:lineRule="exact"/>
        <w:ind w:left="0" w:leftChars="0" w:firstLine="643" w:firstLineChars="200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/>
        </w:rPr>
        <w:t>项目建设内容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以建设工作指引为纲领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，建设济宁市城市基础设施生命线安全监管系统，利用物联网、云计算和大数据等先进技术，对济宁市主城区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的燃气、供热、供水、排水、桥梁及综合管廊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等城市重要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基础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设施，进行常态化监测、动态预警、精准溯源、协同处置，预警防范燃气爆炸、桥梁坍塌、城市内涝、管网泄漏等事故发生。项目建设内容主要包括:济宁市城市基础设施生命线安全监管系统开发，包含全市监管一张图、统计分析、日常管理、更新维护管理、应急联动处置、第三方施工管控、地下管线交互风险分析、社会公众服务及应用权限管理等功能模块，综合应用系统及专项监管系统;基于各行业已建信息化系统，完成城市安全监管相关基础数据资源及平台的整合、治理和接入工作，配套网络、安全相关建设;监管系统补充相关的前端物联感知设备、健全完善监测数据或增加监测覆盖区域等;主城区地下管网建模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规则化建模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和10.28平方公里城市三维建模;完成与省平台的联网对接和一体化运行。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同时，指导6大行业运维单位按照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建设工作指引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要求做好各专项监管系统的补充完善及前端物联感知设备安装工作。项目总投资1316.26万元，其中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经技术评审后的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项目直接投资1226.26万元，其他费用90万元。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3"/>
        <w:textAlignment w:val="auto"/>
        <w:rPr>
          <w:rStyle w:val="21"/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Style w:val="21"/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三、提请研究事项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同意实施济宁市城市基础设施生命线安全监管系统建设项目。本次会议研究通过后，提交市委常委会</w:t>
      </w:r>
      <w:r>
        <w:rPr>
          <w:rFonts w:hint="eastAsia" w:eastAsia="方正仿宋简体" w:cs="Times New Roman"/>
          <w:b/>
          <w:bCs/>
          <w:color w:val="auto"/>
          <w:lang w:val="en-US" w:eastAsia="zh-CN"/>
        </w:rPr>
        <w:t>会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议研究。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pStyle w:val="8"/>
        <w:numPr>
          <w:ilvl w:val="0"/>
          <w:numId w:val="0"/>
        </w:numPr>
        <w:ind w:left="425" w:leftChars="0" w:hanging="425" w:firstLineChars="0"/>
        <w:jc w:val="both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附件1：</w:t>
      </w:r>
    </w:p>
    <w:p>
      <w:pPr>
        <w:pStyle w:val="8"/>
        <w:numPr>
          <w:ilvl w:val="0"/>
          <w:numId w:val="0"/>
        </w:numPr>
        <w:ind w:left="425" w:leftChars="0" w:hanging="425" w:firstLineChars="0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济宁市城市基础设施生命线安全监管系统</w:t>
      </w:r>
    </w:p>
    <w:p>
      <w:pPr>
        <w:pStyle w:val="8"/>
        <w:numPr>
          <w:ilvl w:val="0"/>
          <w:numId w:val="0"/>
        </w:numPr>
        <w:ind w:left="425" w:leftChars="0" w:hanging="425" w:firstLineChars="0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项目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>建设方案</w:t>
      </w:r>
    </w:p>
    <w:p>
      <w:pPr>
        <w:pStyle w:val="8"/>
        <w:numPr>
          <w:ilvl w:val="0"/>
          <w:numId w:val="0"/>
        </w:numP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建设依据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《山东省市、县（市、区）城市基础设施生命线安全监管工程建设工作指引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试行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建设内容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主要包括4个方面：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济宁市城市基础设施生命线安全监管系统开发，包含全市监管一张图、统计分析、日常管理、更新维护管理、应急联动处置、第三方施工管控、地下管线交互风险分析、社会公众服务及应用权限管理等功能模块，综合应用系统及专项监管系统;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基于各行业已建信息化系统，完成城市安全监管相关基础数据资源及平台的整合、治理和接入工作，配套网络、安全相关建设;监管系统补充相关的前端物联感知设备、健全完善监测数据或增加监测覆盖区域等;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主城区地下管网建模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规则化建模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和10.28平方公里城市三维建模;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完成与省平台的联网对接和一体化运行。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90"/>
        <w:textAlignment w:val="auto"/>
        <w:rPr>
          <w:rFonts w:hint="default" w:ascii="Times New Roman" w:hAnsi="Times New Roman" w:eastAsia="黑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90"/>
        <w:textAlignment w:val="auto"/>
        <w:rPr>
          <w:rFonts w:hint="default" w:ascii="Times New Roman" w:hAnsi="Times New Roman" w:eastAsia="黑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lang w:val="en-US" w:eastAsia="zh-CN"/>
        </w:rPr>
        <w:t>三、技术路径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9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济宁市基础设施生命线安全监管系统依托政务云资源进行建设，以主城区燃气、热力、供水、排水、桥梁、综合管廊6大行业现有信息化系统数据资源以及市级已建基础平台能力为基础，通过数据接入、数据汇聚、数据清洗等数据治理工程，构建不同的数据库及数据仓库，向综合应用及各专项系统提供数据支撑，进行数据赋能（包括算法分析及数据分析能力），建设城市综合监管及耦合分析能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9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64135</wp:posOffset>
            </wp:positionV>
            <wp:extent cx="6142990" cy="3684270"/>
            <wp:effectExtent l="0" t="0" r="10160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9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9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9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9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9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9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9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9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9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楷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lang w:val="en-US" w:eastAsia="zh-CN"/>
        </w:rPr>
        <w:t>技术架构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90"/>
        <w:textAlignment w:val="auto"/>
        <w:rPr>
          <w:rFonts w:hint="default" w:ascii="Times New Roman" w:hAnsi="Times New Roman" w:eastAsia="黑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lang w:val="en-US" w:eastAsia="zh-CN"/>
        </w:rPr>
        <w:t>四、项目资金需求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9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项目总投资1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316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万元，主要为系统开发、数据治理、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三维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建模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与省平台联网对接费用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可研编制费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设计费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、预备费等其他费用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五、建设计划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2月初召开项目专题任务部署会，明确6大行业感知网承建单位、建设要求及时间节点；</w:t>
      </w:r>
      <w:r>
        <w:rPr>
          <w:rFonts w:hint="eastAsia" w:ascii="Times New Roman" w:hAnsi="Times New Roman" w:eastAsia="方正仿宋简体" w:cs="Times New Roman"/>
          <w:b/>
          <w:bCs/>
          <w:color w:val="auto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月底完成项目采购；8月底完成6大行业感知网建设；10月底完成数据接入及数据治理；12月底完成与省平台的对接，竣工验收。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济宁市城市基础设施生命线安全监管系统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建设资金需求</w:t>
      </w:r>
    </w:p>
    <w:tbl>
      <w:tblPr>
        <w:tblStyle w:val="10"/>
        <w:tblW w:w="97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19"/>
        <w:gridCol w:w="167"/>
        <w:gridCol w:w="2637"/>
        <w:gridCol w:w="1404"/>
        <w:gridCol w:w="2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3"/>
                <w:rFonts w:hint="default" w:ascii="Times New Roman" w:hAnsi="Times New Roman" w:cs="Times New Roman"/>
                <w:color w:val="auto"/>
                <w:lang w:val="en-US" w:eastAsia="zh-CN" w:bidi="ar"/>
              </w:rPr>
              <w:t>资金类别</w:t>
            </w: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3"/>
                <w:rFonts w:hint="default" w:ascii="Times New Roman" w:hAnsi="Times New Roman" w:cs="Times New Roman"/>
                <w:color w:val="auto"/>
                <w:lang w:val="en-US" w:eastAsia="zh-CN" w:bidi="ar"/>
              </w:rPr>
              <w:t>项目名称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3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23"/>
                <w:rFonts w:hint="default" w:ascii="Times New Roman" w:hAnsi="Times New Roman" w:cs="Times New Roman"/>
                <w:color w:val="auto"/>
                <w:lang w:val="en-US" w:eastAsia="zh-CN" w:bidi="ar"/>
              </w:rPr>
              <w:t>金  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3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（万元）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/>
                <w:color w:va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78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应用系统建设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综合应用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燃气监管专项应用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52.56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热力监管专项应用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48.72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供水监管专项应用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52.92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综合管廊监管专项应用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5"/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lang w:val="en-US" w:eastAsia="zh-CN" w:bidi="ar"/>
              </w:rPr>
              <w:t>中台能力建设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数据工程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5"/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lang w:val="en-US" w:eastAsia="zh-CN" w:bidi="ar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算法模型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5"/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lang w:val="en-US" w:eastAsia="zh-CN" w:bidi="ar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三维建模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187.58 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5"/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lang w:val="en-US" w:eastAsia="zh-CN" w:bidi="ar"/>
              </w:rPr>
              <w:t>其他配套建设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专线建设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5"/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lang w:val="en-US" w:eastAsia="zh-CN" w:bidi="ar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已建视频平台扩容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.50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5"/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lang w:val="en-US" w:eastAsia="zh-CN" w:bidi="ar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简体" w:cs="Times New Roman"/>
                <w:color w:val="auto"/>
                <w:lang w:val="en-US" w:eastAsia="zh-CN" w:bidi="ar"/>
              </w:rPr>
              <w:t>短信服务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三年费用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23" w:type="dxa"/>
            <w:gridSpan w:val="3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5"/>
                <w:rFonts w:hint="eastAsia" w:ascii="Times New Roman" w:hAnsi="Times New Roman" w:eastAsia="方正仿宋简体" w:cs="Times New Roman"/>
                <w:color w:val="auto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lang w:val="en-US" w:eastAsia="zh-CN" w:bidi="ar"/>
              </w:rPr>
              <w:t>系统对接第三方费用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145.70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小计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1153.32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信息安全测评费用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三级等保测评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信息化检测费用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29.38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软件测评费用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商用密码应用安全性评估费用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监理费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按发改价格[2007]670号的6折计取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小计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104.9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</w:pPr>
            <w:r>
              <w:rPr>
                <w:rStyle w:val="25"/>
                <w:rFonts w:hint="eastAsia" w:eastAsia="方正仿宋简体" w:cs="Times New Roman"/>
                <w:color w:val="auto"/>
                <w:lang w:val="en-US" w:eastAsia="zh-CN" w:bidi="ar"/>
              </w:rPr>
              <w:t>合计项目直接投资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1226.26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8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其他相关费用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80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6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可研编制费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80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6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设计费</w:t>
            </w:r>
            <w:r>
              <w:rPr>
                <w:rStyle w:val="27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(</w:t>
            </w:r>
            <w:r>
              <w:rPr>
                <w:rStyle w:val="26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含概算编制</w:t>
            </w:r>
            <w:r>
              <w:rPr>
                <w:rStyle w:val="27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)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5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合计总投资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14" w:right="1588" w:bottom="1191" w:left="1588" w:header="0" w:footer="1588" w:gutter="0"/>
      <w:pgNumType w:fmt="numberInDash"/>
      <w:cols w:space="720" w:num="1"/>
      <w:docGrid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0" w:lineRule="exact"/>
      <w:jc w:val="both"/>
      <w:textAlignment w:val="auto"/>
      <w:rPr>
        <w:rFonts w:ascii="宋体" w:hAnsi="宋体" w:eastAsia="宋体"/>
        <w:b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  <w:b/>
        <w:sz w:val="28"/>
        <w:szCs w:val="28"/>
      </w:rPr>
    </w:pPr>
    <w:r>
      <w:rPr>
        <w:rFonts w:ascii="宋体" w:hAnsi="宋体" w:eastAsia="宋体"/>
        <w:b/>
        <w:sz w:val="28"/>
        <w:szCs w:val="28"/>
      </w:rPr>
      <w:fldChar w:fldCharType="begin"/>
    </w:r>
    <w:r>
      <w:rPr>
        <w:rFonts w:ascii="宋体" w:hAnsi="宋体" w:eastAsia="宋体"/>
        <w:b/>
        <w:sz w:val="28"/>
        <w:szCs w:val="28"/>
      </w:rPr>
      <w:instrText xml:space="preserve">PAGE   \* MERGEFORMAT</w:instrText>
    </w:r>
    <w:r>
      <w:rPr>
        <w:rFonts w:ascii="宋体" w:hAnsi="宋体" w:eastAsia="宋体"/>
        <w:b/>
        <w:sz w:val="28"/>
        <w:szCs w:val="28"/>
      </w:rPr>
      <w:fldChar w:fldCharType="separate"/>
    </w:r>
    <w:r>
      <w:rPr>
        <w:rFonts w:ascii="宋体" w:hAnsi="宋体" w:eastAsia="宋体"/>
        <w:b/>
        <w:sz w:val="28"/>
        <w:szCs w:val="28"/>
        <w:lang w:val="zh-CN"/>
      </w:rPr>
      <w:t>-</w:t>
    </w:r>
    <w:r>
      <w:rPr>
        <w:rFonts w:ascii="宋体" w:hAnsi="宋体" w:eastAsia="宋体"/>
        <w:b/>
        <w:sz w:val="28"/>
        <w:szCs w:val="28"/>
      </w:rPr>
      <w:t xml:space="preserve"> 2 -</w:t>
    </w:r>
    <w:r>
      <w:rPr>
        <w:rFonts w:ascii="宋体" w:hAnsi="宋体" w:eastAsia="宋体"/>
        <w:b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C2F16"/>
    <w:multiLevelType w:val="singleLevel"/>
    <w:tmpl w:val="744C2F16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156"/>
  <w:drawingGridVerticalSpacing w:val="31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Y2U1NmY3NDdmMDE0NDdjMmU4NTg0MTcyYWI4YzUifQ=="/>
  </w:docVars>
  <w:rsids>
    <w:rsidRoot w:val="00CB35BC"/>
    <w:rsid w:val="000020D0"/>
    <w:rsid w:val="00003091"/>
    <w:rsid w:val="0001748A"/>
    <w:rsid w:val="00023E64"/>
    <w:rsid w:val="00041CC9"/>
    <w:rsid w:val="00046F0F"/>
    <w:rsid w:val="0005787F"/>
    <w:rsid w:val="000628F9"/>
    <w:rsid w:val="0007271D"/>
    <w:rsid w:val="00074BBE"/>
    <w:rsid w:val="000777F2"/>
    <w:rsid w:val="00081DA7"/>
    <w:rsid w:val="000835C4"/>
    <w:rsid w:val="0008620F"/>
    <w:rsid w:val="000B0B7C"/>
    <w:rsid w:val="000B7B8E"/>
    <w:rsid w:val="000C1659"/>
    <w:rsid w:val="000C1CE4"/>
    <w:rsid w:val="000E0A06"/>
    <w:rsid w:val="000F0BA1"/>
    <w:rsid w:val="000F13D6"/>
    <w:rsid w:val="000F4F88"/>
    <w:rsid w:val="00115548"/>
    <w:rsid w:val="001208DA"/>
    <w:rsid w:val="001375D5"/>
    <w:rsid w:val="00141AE9"/>
    <w:rsid w:val="001465F7"/>
    <w:rsid w:val="001546E3"/>
    <w:rsid w:val="00160647"/>
    <w:rsid w:val="00166C8F"/>
    <w:rsid w:val="00166D26"/>
    <w:rsid w:val="001719B6"/>
    <w:rsid w:val="001733B3"/>
    <w:rsid w:val="00180562"/>
    <w:rsid w:val="001812FE"/>
    <w:rsid w:val="001851A9"/>
    <w:rsid w:val="0018777B"/>
    <w:rsid w:val="001952E9"/>
    <w:rsid w:val="001A2FA8"/>
    <w:rsid w:val="001A5F25"/>
    <w:rsid w:val="001D50F8"/>
    <w:rsid w:val="001D6645"/>
    <w:rsid w:val="001E1AD5"/>
    <w:rsid w:val="001E1F82"/>
    <w:rsid w:val="001E4054"/>
    <w:rsid w:val="002071F7"/>
    <w:rsid w:val="0021735C"/>
    <w:rsid w:val="002178B6"/>
    <w:rsid w:val="002225E6"/>
    <w:rsid w:val="00231511"/>
    <w:rsid w:val="0023328A"/>
    <w:rsid w:val="00234C2A"/>
    <w:rsid w:val="00244B2C"/>
    <w:rsid w:val="00244FB4"/>
    <w:rsid w:val="0025426A"/>
    <w:rsid w:val="00260B28"/>
    <w:rsid w:val="00261A74"/>
    <w:rsid w:val="0028265E"/>
    <w:rsid w:val="00285E12"/>
    <w:rsid w:val="00290B9E"/>
    <w:rsid w:val="002941F1"/>
    <w:rsid w:val="00297EE2"/>
    <w:rsid w:val="002B1779"/>
    <w:rsid w:val="002C1A13"/>
    <w:rsid w:val="002C4C68"/>
    <w:rsid w:val="002C709C"/>
    <w:rsid w:val="002D0862"/>
    <w:rsid w:val="002D5F79"/>
    <w:rsid w:val="002D65B3"/>
    <w:rsid w:val="002D6F4E"/>
    <w:rsid w:val="002E7115"/>
    <w:rsid w:val="002E7DEF"/>
    <w:rsid w:val="002F189C"/>
    <w:rsid w:val="002F4499"/>
    <w:rsid w:val="002F4F6F"/>
    <w:rsid w:val="00303181"/>
    <w:rsid w:val="003038BE"/>
    <w:rsid w:val="003311EA"/>
    <w:rsid w:val="00331BBE"/>
    <w:rsid w:val="0033418A"/>
    <w:rsid w:val="00340E12"/>
    <w:rsid w:val="00341D64"/>
    <w:rsid w:val="00350E16"/>
    <w:rsid w:val="00364FE8"/>
    <w:rsid w:val="00370A25"/>
    <w:rsid w:val="00370D53"/>
    <w:rsid w:val="00382182"/>
    <w:rsid w:val="003931F4"/>
    <w:rsid w:val="0039343D"/>
    <w:rsid w:val="003A34B4"/>
    <w:rsid w:val="003B1A68"/>
    <w:rsid w:val="003C7685"/>
    <w:rsid w:val="003D090A"/>
    <w:rsid w:val="003D5BC4"/>
    <w:rsid w:val="003E32E8"/>
    <w:rsid w:val="004013F2"/>
    <w:rsid w:val="00411B46"/>
    <w:rsid w:val="00413EE5"/>
    <w:rsid w:val="00415B15"/>
    <w:rsid w:val="004348DA"/>
    <w:rsid w:val="00444998"/>
    <w:rsid w:val="004652DE"/>
    <w:rsid w:val="004922D7"/>
    <w:rsid w:val="004A0AAE"/>
    <w:rsid w:val="004A3BD0"/>
    <w:rsid w:val="004A61C0"/>
    <w:rsid w:val="004B1B1A"/>
    <w:rsid w:val="004C0304"/>
    <w:rsid w:val="004C1A9B"/>
    <w:rsid w:val="004D09AA"/>
    <w:rsid w:val="004E38B8"/>
    <w:rsid w:val="004F2818"/>
    <w:rsid w:val="004F55D2"/>
    <w:rsid w:val="00513290"/>
    <w:rsid w:val="00520BC4"/>
    <w:rsid w:val="00534C61"/>
    <w:rsid w:val="00542A63"/>
    <w:rsid w:val="005528BF"/>
    <w:rsid w:val="00552FC2"/>
    <w:rsid w:val="00554F93"/>
    <w:rsid w:val="00555357"/>
    <w:rsid w:val="00556081"/>
    <w:rsid w:val="0056376F"/>
    <w:rsid w:val="00586433"/>
    <w:rsid w:val="005947DC"/>
    <w:rsid w:val="005A3394"/>
    <w:rsid w:val="005D58AC"/>
    <w:rsid w:val="005D7FB4"/>
    <w:rsid w:val="005E46DE"/>
    <w:rsid w:val="005F15A3"/>
    <w:rsid w:val="005F2AE5"/>
    <w:rsid w:val="00601693"/>
    <w:rsid w:val="0060229C"/>
    <w:rsid w:val="0060382E"/>
    <w:rsid w:val="00610502"/>
    <w:rsid w:val="006249F4"/>
    <w:rsid w:val="00626408"/>
    <w:rsid w:val="00627F1B"/>
    <w:rsid w:val="00631C89"/>
    <w:rsid w:val="00652C02"/>
    <w:rsid w:val="00655663"/>
    <w:rsid w:val="006627B8"/>
    <w:rsid w:val="00665C27"/>
    <w:rsid w:val="00671DFD"/>
    <w:rsid w:val="00673B13"/>
    <w:rsid w:val="006754D9"/>
    <w:rsid w:val="00685B92"/>
    <w:rsid w:val="00690920"/>
    <w:rsid w:val="006936A8"/>
    <w:rsid w:val="006A4710"/>
    <w:rsid w:val="006A5D53"/>
    <w:rsid w:val="006D2BF5"/>
    <w:rsid w:val="006E303E"/>
    <w:rsid w:val="006F1511"/>
    <w:rsid w:val="006F5526"/>
    <w:rsid w:val="00722DA7"/>
    <w:rsid w:val="00730ED5"/>
    <w:rsid w:val="00744F2F"/>
    <w:rsid w:val="00754B1A"/>
    <w:rsid w:val="00760474"/>
    <w:rsid w:val="007651F2"/>
    <w:rsid w:val="007654CE"/>
    <w:rsid w:val="00772C7D"/>
    <w:rsid w:val="00777614"/>
    <w:rsid w:val="007948C1"/>
    <w:rsid w:val="007A33D2"/>
    <w:rsid w:val="007A77F7"/>
    <w:rsid w:val="007B15DF"/>
    <w:rsid w:val="007B6F59"/>
    <w:rsid w:val="007C2663"/>
    <w:rsid w:val="007F371B"/>
    <w:rsid w:val="007F5262"/>
    <w:rsid w:val="007F68D4"/>
    <w:rsid w:val="008040CE"/>
    <w:rsid w:val="008055EB"/>
    <w:rsid w:val="00815253"/>
    <w:rsid w:val="008261B2"/>
    <w:rsid w:val="00845A30"/>
    <w:rsid w:val="008547D9"/>
    <w:rsid w:val="008623ED"/>
    <w:rsid w:val="0087028B"/>
    <w:rsid w:val="00873A3E"/>
    <w:rsid w:val="008841E6"/>
    <w:rsid w:val="00891DD6"/>
    <w:rsid w:val="008940DB"/>
    <w:rsid w:val="00896B47"/>
    <w:rsid w:val="008A4396"/>
    <w:rsid w:val="008C3A6C"/>
    <w:rsid w:val="008D1BC2"/>
    <w:rsid w:val="008D4E38"/>
    <w:rsid w:val="008E3041"/>
    <w:rsid w:val="008E45BA"/>
    <w:rsid w:val="008E7EA4"/>
    <w:rsid w:val="008F1E57"/>
    <w:rsid w:val="008F2C7F"/>
    <w:rsid w:val="008F43CE"/>
    <w:rsid w:val="00903EE4"/>
    <w:rsid w:val="00916C0E"/>
    <w:rsid w:val="009172AF"/>
    <w:rsid w:val="00923201"/>
    <w:rsid w:val="00923A83"/>
    <w:rsid w:val="0092599B"/>
    <w:rsid w:val="009326DD"/>
    <w:rsid w:val="009479D2"/>
    <w:rsid w:val="00952A12"/>
    <w:rsid w:val="00965788"/>
    <w:rsid w:val="0098366E"/>
    <w:rsid w:val="00984003"/>
    <w:rsid w:val="009840FD"/>
    <w:rsid w:val="009871EC"/>
    <w:rsid w:val="00997414"/>
    <w:rsid w:val="009A7C90"/>
    <w:rsid w:val="009B34D7"/>
    <w:rsid w:val="009C669A"/>
    <w:rsid w:val="009D6DDE"/>
    <w:rsid w:val="009E2E06"/>
    <w:rsid w:val="009E326A"/>
    <w:rsid w:val="009E6B8C"/>
    <w:rsid w:val="00A0008A"/>
    <w:rsid w:val="00A07824"/>
    <w:rsid w:val="00A240E4"/>
    <w:rsid w:val="00A345BF"/>
    <w:rsid w:val="00A403DC"/>
    <w:rsid w:val="00A4145A"/>
    <w:rsid w:val="00A42BAC"/>
    <w:rsid w:val="00A460C6"/>
    <w:rsid w:val="00A474EF"/>
    <w:rsid w:val="00A833ED"/>
    <w:rsid w:val="00A90D02"/>
    <w:rsid w:val="00AA0916"/>
    <w:rsid w:val="00AA1124"/>
    <w:rsid w:val="00AB1C72"/>
    <w:rsid w:val="00AC603F"/>
    <w:rsid w:val="00AD536F"/>
    <w:rsid w:val="00AD75EA"/>
    <w:rsid w:val="00AE34B4"/>
    <w:rsid w:val="00AE621E"/>
    <w:rsid w:val="00B12668"/>
    <w:rsid w:val="00B15FEC"/>
    <w:rsid w:val="00B25C2B"/>
    <w:rsid w:val="00B32E5D"/>
    <w:rsid w:val="00B348DF"/>
    <w:rsid w:val="00B364DF"/>
    <w:rsid w:val="00B42838"/>
    <w:rsid w:val="00B42BB2"/>
    <w:rsid w:val="00B6184B"/>
    <w:rsid w:val="00B62199"/>
    <w:rsid w:val="00B85E74"/>
    <w:rsid w:val="00B87AC3"/>
    <w:rsid w:val="00B9064C"/>
    <w:rsid w:val="00B92FCE"/>
    <w:rsid w:val="00BC6400"/>
    <w:rsid w:val="00BD3A12"/>
    <w:rsid w:val="00BE5D29"/>
    <w:rsid w:val="00BE61F5"/>
    <w:rsid w:val="00BF4121"/>
    <w:rsid w:val="00BF4E9E"/>
    <w:rsid w:val="00BF64AF"/>
    <w:rsid w:val="00C10C36"/>
    <w:rsid w:val="00C113D7"/>
    <w:rsid w:val="00C14A49"/>
    <w:rsid w:val="00C213BF"/>
    <w:rsid w:val="00C331E7"/>
    <w:rsid w:val="00C406B3"/>
    <w:rsid w:val="00C514A7"/>
    <w:rsid w:val="00C63E63"/>
    <w:rsid w:val="00C65ADE"/>
    <w:rsid w:val="00C75020"/>
    <w:rsid w:val="00C81DCE"/>
    <w:rsid w:val="00C8505A"/>
    <w:rsid w:val="00C851CB"/>
    <w:rsid w:val="00C874B9"/>
    <w:rsid w:val="00CA3AD3"/>
    <w:rsid w:val="00CB35BC"/>
    <w:rsid w:val="00CC7542"/>
    <w:rsid w:val="00CD35C2"/>
    <w:rsid w:val="00CF0657"/>
    <w:rsid w:val="00CF112C"/>
    <w:rsid w:val="00CF5D2F"/>
    <w:rsid w:val="00D015B3"/>
    <w:rsid w:val="00D1590F"/>
    <w:rsid w:val="00D17998"/>
    <w:rsid w:val="00D22E76"/>
    <w:rsid w:val="00D362C2"/>
    <w:rsid w:val="00D40A26"/>
    <w:rsid w:val="00D446A0"/>
    <w:rsid w:val="00D5056D"/>
    <w:rsid w:val="00D52CE2"/>
    <w:rsid w:val="00D614EF"/>
    <w:rsid w:val="00D64197"/>
    <w:rsid w:val="00D84B04"/>
    <w:rsid w:val="00D96570"/>
    <w:rsid w:val="00DA080D"/>
    <w:rsid w:val="00DA2797"/>
    <w:rsid w:val="00DA3211"/>
    <w:rsid w:val="00DA74DE"/>
    <w:rsid w:val="00DB554A"/>
    <w:rsid w:val="00DC2622"/>
    <w:rsid w:val="00DD5CC4"/>
    <w:rsid w:val="00DE0B7A"/>
    <w:rsid w:val="00DE2559"/>
    <w:rsid w:val="00DE319F"/>
    <w:rsid w:val="00DF1A4B"/>
    <w:rsid w:val="00DF24E8"/>
    <w:rsid w:val="00E122A3"/>
    <w:rsid w:val="00E1661E"/>
    <w:rsid w:val="00E3259D"/>
    <w:rsid w:val="00E45AE5"/>
    <w:rsid w:val="00E50A3C"/>
    <w:rsid w:val="00E5115B"/>
    <w:rsid w:val="00E52954"/>
    <w:rsid w:val="00E57D25"/>
    <w:rsid w:val="00E62F1C"/>
    <w:rsid w:val="00E66517"/>
    <w:rsid w:val="00E66EF2"/>
    <w:rsid w:val="00E751B8"/>
    <w:rsid w:val="00E86938"/>
    <w:rsid w:val="00E902CC"/>
    <w:rsid w:val="00E90504"/>
    <w:rsid w:val="00E9556B"/>
    <w:rsid w:val="00EA230F"/>
    <w:rsid w:val="00EB7BCD"/>
    <w:rsid w:val="00EC443F"/>
    <w:rsid w:val="00ED0A20"/>
    <w:rsid w:val="00EE0518"/>
    <w:rsid w:val="00EE3CE9"/>
    <w:rsid w:val="00EF5E51"/>
    <w:rsid w:val="00F00CBA"/>
    <w:rsid w:val="00F061C1"/>
    <w:rsid w:val="00F30667"/>
    <w:rsid w:val="00F46552"/>
    <w:rsid w:val="00F52D77"/>
    <w:rsid w:val="00F66AC9"/>
    <w:rsid w:val="00F67699"/>
    <w:rsid w:val="00F74E0D"/>
    <w:rsid w:val="00F769A2"/>
    <w:rsid w:val="00F92818"/>
    <w:rsid w:val="00FB1180"/>
    <w:rsid w:val="00FC20B5"/>
    <w:rsid w:val="00FC47E0"/>
    <w:rsid w:val="00FC6199"/>
    <w:rsid w:val="00FC6673"/>
    <w:rsid w:val="00FC6FA5"/>
    <w:rsid w:val="00FD5F44"/>
    <w:rsid w:val="00FE24E0"/>
    <w:rsid w:val="00FE52B5"/>
    <w:rsid w:val="01DD59FB"/>
    <w:rsid w:val="02314672"/>
    <w:rsid w:val="03610DED"/>
    <w:rsid w:val="0373650F"/>
    <w:rsid w:val="05A4505A"/>
    <w:rsid w:val="06C12B4D"/>
    <w:rsid w:val="0CDA36D4"/>
    <w:rsid w:val="0DB21868"/>
    <w:rsid w:val="0F3F39C2"/>
    <w:rsid w:val="153B41BA"/>
    <w:rsid w:val="16884587"/>
    <w:rsid w:val="1AB75ADA"/>
    <w:rsid w:val="1ABC396F"/>
    <w:rsid w:val="1BD17E0F"/>
    <w:rsid w:val="1EA27958"/>
    <w:rsid w:val="221B033F"/>
    <w:rsid w:val="223573AF"/>
    <w:rsid w:val="23CC00B9"/>
    <w:rsid w:val="2423778D"/>
    <w:rsid w:val="25BD32CA"/>
    <w:rsid w:val="2895052E"/>
    <w:rsid w:val="2F1B0A4D"/>
    <w:rsid w:val="311A09D7"/>
    <w:rsid w:val="32BB5035"/>
    <w:rsid w:val="34A91AF2"/>
    <w:rsid w:val="37386830"/>
    <w:rsid w:val="38BB635B"/>
    <w:rsid w:val="396C247B"/>
    <w:rsid w:val="39CE1802"/>
    <w:rsid w:val="39ED4E59"/>
    <w:rsid w:val="3A944AE9"/>
    <w:rsid w:val="3B9E6BE4"/>
    <w:rsid w:val="3E0C0BC5"/>
    <w:rsid w:val="3EA32B58"/>
    <w:rsid w:val="3F0F2990"/>
    <w:rsid w:val="3F704DCE"/>
    <w:rsid w:val="40100202"/>
    <w:rsid w:val="40644767"/>
    <w:rsid w:val="412F2E76"/>
    <w:rsid w:val="43275E91"/>
    <w:rsid w:val="44055877"/>
    <w:rsid w:val="47E77230"/>
    <w:rsid w:val="485708FA"/>
    <w:rsid w:val="4B6E0A3F"/>
    <w:rsid w:val="4DE81FCA"/>
    <w:rsid w:val="4DE84647"/>
    <w:rsid w:val="50323D86"/>
    <w:rsid w:val="50CF15CB"/>
    <w:rsid w:val="54170809"/>
    <w:rsid w:val="55496F5F"/>
    <w:rsid w:val="55C41882"/>
    <w:rsid w:val="58430413"/>
    <w:rsid w:val="5966544B"/>
    <w:rsid w:val="59A40F04"/>
    <w:rsid w:val="5BA04C44"/>
    <w:rsid w:val="5D173A3F"/>
    <w:rsid w:val="5F1E3748"/>
    <w:rsid w:val="60B453AD"/>
    <w:rsid w:val="623F6839"/>
    <w:rsid w:val="63F47D6B"/>
    <w:rsid w:val="64C25C2B"/>
    <w:rsid w:val="657748B4"/>
    <w:rsid w:val="66AD1C1A"/>
    <w:rsid w:val="677440EF"/>
    <w:rsid w:val="67784CC7"/>
    <w:rsid w:val="68645EB4"/>
    <w:rsid w:val="68880F3A"/>
    <w:rsid w:val="69763488"/>
    <w:rsid w:val="6A4602EF"/>
    <w:rsid w:val="6CD52BDA"/>
    <w:rsid w:val="6E573888"/>
    <w:rsid w:val="700B74D8"/>
    <w:rsid w:val="70741DA4"/>
    <w:rsid w:val="744964FD"/>
    <w:rsid w:val="75093A1C"/>
    <w:rsid w:val="76BC72C9"/>
    <w:rsid w:val="779242C6"/>
    <w:rsid w:val="779C5137"/>
    <w:rsid w:val="77E12415"/>
    <w:rsid w:val="790A59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pt" color="#FF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link w:val="13"/>
    <w:semiHidden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autoRedefine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6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0"/>
    <w:rPr>
      <w:rFonts w:ascii="Calibri" w:hAnsi="Calibri" w:eastAsia="宋体"/>
      <w:sz w:val="21"/>
      <w:szCs w:val="24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styleId="8">
    <w:name w:val="Title"/>
    <w:basedOn w:val="1"/>
    <w:next w:val="1"/>
    <w:autoRedefine/>
    <w:qFormat/>
    <w:uiPriority w:val="10"/>
    <w:pPr>
      <w:jc w:val="left"/>
      <w:outlineLvl w:val="0"/>
    </w:pPr>
    <w:rPr>
      <w:rFonts w:ascii="Cambria" w:hAnsi="Cambria" w:cs="Times New Roman"/>
      <w:b/>
      <w:bCs/>
      <w:sz w:val="28"/>
      <w:szCs w:val="32"/>
    </w:rPr>
  </w:style>
  <w:style w:type="paragraph" w:styleId="9">
    <w:name w:val="Body Text First Indent 2"/>
    <w:basedOn w:val="2"/>
    <w:link w:val="19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_Style 13"/>
    <w:basedOn w:val="1"/>
    <w:link w:val="12"/>
    <w:autoRedefine/>
    <w:semiHidden/>
    <w:qFormat/>
    <w:uiPriority w:val="0"/>
    <w:rPr>
      <w:rFonts w:eastAsia="宋体"/>
      <w:b/>
      <w:szCs w:val="30"/>
    </w:rPr>
  </w:style>
  <w:style w:type="character" w:styleId="14">
    <w:name w:val="page number"/>
    <w:basedOn w:val="12"/>
    <w:autoRedefine/>
    <w:qFormat/>
    <w:uiPriority w:val="0"/>
  </w:style>
  <w:style w:type="character" w:customStyle="1" w:styleId="15">
    <w:name w:val="正文文本缩进 Char"/>
    <w:link w:val="2"/>
    <w:autoRedefine/>
    <w:qFormat/>
    <w:uiPriority w:val="0"/>
    <w:rPr>
      <w:rFonts w:eastAsia="方正小标宋简体"/>
      <w:kern w:val="2"/>
      <w:sz w:val="32"/>
      <w:szCs w:val="32"/>
    </w:rPr>
  </w:style>
  <w:style w:type="character" w:customStyle="1" w:styleId="16">
    <w:name w:val="批注框文本 Char"/>
    <w:link w:val="3"/>
    <w:autoRedefine/>
    <w:qFormat/>
    <w:uiPriority w:val="99"/>
    <w:rPr>
      <w:rFonts w:eastAsia="方正小标宋简体"/>
      <w:kern w:val="2"/>
      <w:sz w:val="18"/>
      <w:szCs w:val="18"/>
    </w:rPr>
  </w:style>
  <w:style w:type="character" w:customStyle="1" w:styleId="17">
    <w:name w:val="页脚 Char"/>
    <w:link w:val="4"/>
    <w:autoRedefine/>
    <w:qFormat/>
    <w:uiPriority w:val="99"/>
    <w:rPr>
      <w:rFonts w:eastAsia="方正小标宋简体"/>
      <w:kern w:val="2"/>
      <w:sz w:val="18"/>
      <w:szCs w:val="18"/>
    </w:rPr>
  </w:style>
  <w:style w:type="character" w:customStyle="1" w:styleId="18">
    <w:name w:val="页眉 Char"/>
    <w:link w:val="5"/>
    <w:autoRedefine/>
    <w:qFormat/>
    <w:uiPriority w:val="99"/>
    <w:rPr>
      <w:rFonts w:eastAsia="方正小标宋简体"/>
      <w:kern w:val="2"/>
      <w:sz w:val="18"/>
      <w:szCs w:val="18"/>
    </w:rPr>
  </w:style>
  <w:style w:type="character" w:customStyle="1" w:styleId="19">
    <w:name w:val="正文首行缩进 2 Char"/>
    <w:link w:val="9"/>
    <w:autoRedefine/>
    <w:qFormat/>
    <w:uiPriority w:val="0"/>
    <w:rPr>
      <w:rFonts w:ascii="Calibri" w:hAnsi="Calibri" w:eastAsia="方正小标宋简体"/>
      <w:kern w:val="2"/>
      <w:sz w:val="21"/>
      <w:szCs w:val="22"/>
    </w:rPr>
  </w:style>
  <w:style w:type="paragraph" w:customStyle="1" w:styleId="20">
    <w:name w:val=" Char Char"/>
    <w:basedOn w:val="1"/>
    <w:autoRedefine/>
    <w:semiHidden/>
    <w:qFormat/>
    <w:uiPriority w:val="0"/>
    <w:rPr>
      <w:rFonts w:eastAsia="宋体"/>
      <w:sz w:val="30"/>
      <w:szCs w:val="30"/>
    </w:rPr>
  </w:style>
  <w:style w:type="character" w:customStyle="1" w:styleId="21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23">
    <w:name w:val="font71"/>
    <w:basedOn w:val="12"/>
    <w:autoRedefine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24">
    <w:name w:val="font81"/>
    <w:basedOn w:val="12"/>
    <w:autoRedefine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25">
    <w:name w:val="font9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6">
    <w:name w:val="font10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7">
    <w:name w:val="font31"/>
    <w:basedOn w:val="12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8">
    <w:name w:val="font21"/>
    <w:basedOn w:val="12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1590</Words>
  <Characters>1740</Characters>
  <Lines>37</Lines>
  <Paragraphs>10</Paragraphs>
  <TotalTime>3</TotalTime>
  <ScaleCrop>false</ScaleCrop>
  <LinksUpToDate>false</LinksUpToDate>
  <CharactersWithSpaces>1766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2023-05-08T10:03:00Z</dcterms:created>
  <dc:creator>赵志</dc:creator>
  <cp:lastModifiedBy>孙静</cp:lastModifiedBy>
  <cp:lastPrinted>2024-01-28T09:03:00Z</cp:lastPrinted>
  <dcterms:modified xsi:type="dcterms:W3CDTF">2024-04-22T07:25:20Z</dcterms:modified>
  <dc:title>济宁市第十五届人民政府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B1156FC3EDA04FE6859C20D661A9FBF1_13</vt:lpwstr>
  </property>
</Properties>
</file>